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2B" w:rsidRDefault="00BF2B2B" w:rsidP="00BF2B2B">
      <w:pPr>
        <w:spacing w:after="120"/>
        <w:jc w:val="center"/>
        <w:rPr>
          <w:b/>
          <w:bCs/>
          <w:color w:val="000000"/>
          <w:sz w:val="36"/>
        </w:rPr>
      </w:pPr>
      <w:bookmarkStart w:id="0" w:name="_GoBack"/>
      <w:bookmarkEnd w:id="0"/>
      <w:r w:rsidRPr="00104A3B">
        <w:rPr>
          <w:b/>
          <w:bCs/>
          <w:color w:val="000000"/>
          <w:sz w:val="32"/>
        </w:rPr>
        <w:t xml:space="preserve">График проведения </w:t>
      </w:r>
      <w:r w:rsidR="001B6E1F" w:rsidRPr="00104A3B">
        <w:rPr>
          <w:b/>
          <w:bCs/>
          <w:color w:val="000000"/>
          <w:sz w:val="32"/>
        </w:rPr>
        <w:t>онлайн-</w:t>
      </w:r>
      <w:proofErr w:type="spellStart"/>
      <w:r w:rsidRPr="00104A3B">
        <w:rPr>
          <w:b/>
          <w:bCs/>
          <w:color w:val="000000"/>
          <w:sz w:val="32"/>
        </w:rPr>
        <w:t>веб</w:t>
      </w:r>
      <w:r w:rsidR="00C342EF" w:rsidRPr="00104A3B">
        <w:rPr>
          <w:b/>
          <w:bCs/>
          <w:color w:val="000000"/>
          <w:sz w:val="32"/>
        </w:rPr>
        <w:t>инаров</w:t>
      </w:r>
      <w:proofErr w:type="spellEnd"/>
      <w:r w:rsidR="00C342EF" w:rsidRPr="00104A3B">
        <w:rPr>
          <w:b/>
          <w:bCs/>
          <w:color w:val="000000"/>
          <w:sz w:val="32"/>
        </w:rPr>
        <w:t xml:space="preserve"> для налогоплательщиков</w:t>
      </w:r>
      <w:r w:rsidR="006B046C" w:rsidRPr="00104A3B">
        <w:rPr>
          <w:b/>
          <w:bCs/>
          <w:color w:val="000000"/>
          <w:sz w:val="32"/>
        </w:rPr>
        <w:t xml:space="preserve"> в 4</w:t>
      </w:r>
      <w:r w:rsidRPr="00104A3B">
        <w:rPr>
          <w:b/>
          <w:bCs/>
          <w:color w:val="000000"/>
          <w:sz w:val="32"/>
        </w:rPr>
        <w:t xml:space="preserve"> квартале 2021 года ИФНС России № 21 по г. Москве</w:t>
      </w: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4394"/>
      </w:tblGrid>
      <w:tr w:rsidR="00BF2B2B" w:rsidRPr="005F0D55" w:rsidTr="006B73EF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2B" w:rsidRPr="006B73EF" w:rsidRDefault="00BF2B2B" w:rsidP="00BC3274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6B73EF">
              <w:rPr>
                <w:b/>
                <w:bCs/>
                <w:color w:val="000000"/>
                <w:sz w:val="28"/>
              </w:rPr>
              <w:t xml:space="preserve">Дата и время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2B" w:rsidRPr="006B73EF" w:rsidRDefault="00BF2B2B" w:rsidP="00095C1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6B73EF">
              <w:rPr>
                <w:b/>
                <w:bCs/>
                <w:color w:val="000000"/>
                <w:sz w:val="28"/>
              </w:rPr>
              <w:t xml:space="preserve">Тема </w:t>
            </w:r>
            <w:proofErr w:type="spellStart"/>
            <w:r w:rsidRPr="006B73EF">
              <w:rPr>
                <w:b/>
                <w:bCs/>
                <w:color w:val="000000"/>
                <w:sz w:val="28"/>
              </w:rPr>
              <w:t>вебинара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2B" w:rsidRPr="006B73EF" w:rsidRDefault="00BF2B2B" w:rsidP="00095C16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6B73EF">
              <w:rPr>
                <w:b/>
                <w:bCs/>
                <w:color w:val="000000"/>
                <w:sz w:val="28"/>
              </w:rPr>
              <w:t xml:space="preserve">Ссылка на </w:t>
            </w:r>
            <w:proofErr w:type="spellStart"/>
            <w:r w:rsidRPr="006B73EF">
              <w:rPr>
                <w:b/>
                <w:bCs/>
                <w:color w:val="000000"/>
                <w:sz w:val="28"/>
              </w:rPr>
              <w:t>вебинар</w:t>
            </w:r>
            <w:proofErr w:type="spellEnd"/>
          </w:p>
        </w:tc>
      </w:tr>
      <w:tr w:rsidR="00BF2B2B" w:rsidRPr="00B62C46" w:rsidTr="006B73EF">
        <w:trPr>
          <w:trHeight w:val="28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2B" w:rsidRPr="006B73EF" w:rsidRDefault="00104A3B" w:rsidP="00095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08</w:t>
            </w:r>
            <w:r w:rsidR="007E440C" w:rsidRPr="006B73EF">
              <w:rPr>
                <w:b/>
                <w:color w:val="000000"/>
                <w:sz w:val="28"/>
                <w:szCs w:val="28"/>
              </w:rPr>
              <w:t>.10.2021</w:t>
            </w:r>
          </w:p>
          <w:p w:rsidR="007E440C" w:rsidRPr="006B73EF" w:rsidRDefault="007E440C" w:rsidP="00095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4C" w:rsidRPr="006B73EF" w:rsidRDefault="00BF2B2B" w:rsidP="006B73EF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Специальные налоговые режимы для юридических </w:t>
            </w:r>
            <w:proofErr w:type="gramStart"/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лиц </w:t>
            </w:r>
            <w:r w:rsidRPr="006B73EF">
              <w:rPr>
                <w:color w:val="000000"/>
                <w:sz w:val="28"/>
                <w:szCs w:val="28"/>
              </w:rPr>
              <w:t xml:space="preserve"> </w:t>
            </w:r>
            <w:r w:rsidRPr="006B73EF">
              <w:rPr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>вопросы по упрощенной системе налогообложения</w:t>
            </w:r>
            <w:r w:rsidR="00C172D5" w:rsidRPr="006B73EF">
              <w:rPr>
                <w:color w:val="000000"/>
                <w:sz w:val="28"/>
                <w:szCs w:val="28"/>
              </w:rPr>
              <w:t>; патентная система налогообложения</w:t>
            </w:r>
            <w:r w:rsidR="00AA5A4C" w:rsidRPr="006B73EF">
              <w:rPr>
                <w:color w:val="000000"/>
                <w:sz w:val="28"/>
                <w:szCs w:val="28"/>
              </w:rPr>
              <w:t>; электронный сервис «Выбор подходящего режима»</w:t>
            </w:r>
            <w:r w:rsidRPr="006B73EF">
              <w:rPr>
                <w:color w:val="000000"/>
                <w:sz w:val="28"/>
                <w:szCs w:val="28"/>
              </w:rPr>
              <w:t xml:space="preserve">)                                                                                    </w:t>
            </w:r>
            <w:proofErr w:type="spellStart"/>
            <w:r w:rsidRPr="006B73EF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6B73EF">
              <w:rPr>
                <w:color w:val="000000"/>
                <w:sz w:val="28"/>
                <w:szCs w:val="28"/>
              </w:rPr>
              <w:t xml:space="preserve"> проводится совместно с операторами электронного документооборота.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16" w:rsidRPr="007B1738" w:rsidRDefault="00884216" w:rsidP="00095C16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53BF117E" wp14:editId="2B719B89">
                  <wp:extent cx="1247775" cy="1247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216" w:rsidRPr="007B1738" w:rsidRDefault="00884216" w:rsidP="00095C16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https://vksnp4.nalog.ru/conference/08specialnye-nalogovye-rezhimy-dlya-yuridicheskix-?token=e59fb27d-18d2-4c78-9563-cd7dccee2a35</w:t>
            </w:r>
          </w:p>
        </w:tc>
      </w:tr>
      <w:tr w:rsidR="001F074C" w:rsidRPr="00B62C46" w:rsidTr="006B73EF">
        <w:trPr>
          <w:trHeight w:val="2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12.10.2021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  <w:lang w:val="en-US"/>
              </w:rPr>
              <w:t>12</w:t>
            </w:r>
            <w:r w:rsidRPr="006B73EF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04A3B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Электронные сервисы и </w:t>
            </w:r>
            <w:proofErr w:type="spellStart"/>
            <w:r w:rsidRPr="006B73EF">
              <w:rPr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 ФНС России. Порядок рассмотрения обращений граждан                                                                                 </w:t>
            </w:r>
            <w:proofErr w:type="gramStart"/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B73EF">
              <w:rPr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>59 - ФЗ; личный кабинет налогоплательщика - физического лица: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1EE17887" wp14:editId="4AD988EB">
                  <wp:extent cx="1247775" cy="12477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https://vksnp4.nalog.ru/conference/elektronnye-servisy-i-gosuslugi-fns-rossii-poryado?token=db3d4c97-4842-4c2e-9d68-c004e6140002</w:t>
            </w:r>
          </w:p>
        </w:tc>
      </w:tr>
      <w:tr w:rsidR="001F074C" w:rsidRPr="00B62C46" w:rsidTr="006B73EF">
        <w:trPr>
          <w:trHeight w:val="1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14.10.2021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04A3B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Задолженность юридических, физических лиц и индивидуальных предпринимателей                                             </w:t>
            </w:r>
            <w:proofErr w:type="gramStart"/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6B73EF">
              <w:rPr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>причины образования задолженности, меры принудительного взыскания)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5342740E" wp14:editId="376B2384">
                  <wp:extent cx="1247775" cy="1247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https://vksnp4.nalog.ru/conference/14zadolzhennost-yuridicheskix-fizicheskix-lic-i-in?token=f10172e8-6ada-4441-840d-836f885965f3</w:t>
            </w:r>
          </w:p>
        </w:tc>
      </w:tr>
      <w:tr w:rsidR="001F074C" w:rsidRPr="00B62C46" w:rsidTr="006B73EF">
        <w:trPr>
          <w:trHeight w:val="1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19.10.2021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04A3B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Электронные сервисы и </w:t>
            </w:r>
            <w:proofErr w:type="spellStart"/>
            <w:r w:rsidRPr="006B73EF">
              <w:rPr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 ФНС России.                                                                                   </w:t>
            </w:r>
            <w:r w:rsidRPr="006B73EF">
              <w:rPr>
                <w:color w:val="000000"/>
                <w:sz w:val="28"/>
                <w:szCs w:val="28"/>
              </w:rPr>
              <w:t xml:space="preserve"> (личный кабинет налогоплательщика - физического лица: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31D2AAD4" wp14:editId="79F064E6">
                  <wp:extent cx="1266825" cy="1266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https://vksnp4.nalog.ru/conference/19elektronnye-servisy-i-gosuslugi-fns-rossii?token=b30943d6-585c-4672-bfd6-321d62ca6e46</w:t>
            </w:r>
          </w:p>
        </w:tc>
      </w:tr>
      <w:tr w:rsidR="001F074C" w:rsidRPr="00B62C46" w:rsidTr="006B73EF">
        <w:trPr>
          <w:trHeight w:val="10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lastRenderedPageBreak/>
              <w:t>22.10.2021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04A3B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Налог на прибыль юридических </w:t>
            </w:r>
            <w:proofErr w:type="gramStart"/>
            <w:r w:rsidRPr="006B73EF">
              <w:rPr>
                <w:b/>
                <w:bCs/>
                <w:color w:val="000000"/>
                <w:sz w:val="28"/>
                <w:szCs w:val="28"/>
              </w:rPr>
              <w:t>лиц</w:t>
            </w:r>
            <w:r w:rsidRPr="006B73EF">
              <w:rPr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>форма и сроки представления отчётности; ошибки при заполнении декларации; сроки уплаты налога; штрафные санкции за несвоевременное представление отчётности в установленные сроки и пр.)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3DC710C5" wp14:editId="18DB1928">
                  <wp:extent cx="1276350" cy="12763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https://vksnp4.nalog.ru/conference/22102021nalog-na-pribyl-yuridicheskix-lic?token=3a617a67-6f02-4320-b036-a53a1151ee42</w:t>
            </w:r>
          </w:p>
        </w:tc>
      </w:tr>
      <w:tr w:rsidR="001F074C" w:rsidRPr="00B62C46" w:rsidTr="006B73EF">
        <w:trPr>
          <w:trHeight w:val="8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25.10.2021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Налоговые вычеты.</w:t>
            </w:r>
            <w:r w:rsidRPr="006B73EF">
              <w:rPr>
                <w:color w:val="000000"/>
                <w:sz w:val="28"/>
                <w:szCs w:val="28"/>
              </w:rPr>
              <w:t xml:space="preserve"> </w:t>
            </w:r>
          </w:p>
          <w:p w:rsidR="001F074C" w:rsidRPr="006B73EF" w:rsidRDefault="001F074C" w:rsidP="006B73EF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Особенности и порядок представления налоговой декларации по форме 3-НДФЛ </w:t>
            </w:r>
            <w:r w:rsidRPr="006B73EF">
              <w:rPr>
                <w:color w:val="000000"/>
                <w:sz w:val="28"/>
                <w:szCs w:val="28"/>
              </w:rPr>
              <w:br/>
              <w:t>(виды налоговых вычетов; 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57A50338" wp14:editId="7079551B">
                  <wp:extent cx="1247775" cy="12477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https://vksnp4.nalog.ru/conference/nalogovye-vychety-osobennosti-i-poryadok-predstavl?token=ca458a43-c277-49a2-9ce2-9571f7862fd2</w:t>
            </w:r>
          </w:p>
        </w:tc>
      </w:tr>
      <w:tr w:rsidR="001F074C" w:rsidRPr="00B62C46" w:rsidTr="006B73EF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  <w:lang w:val="en-US"/>
              </w:rPr>
              <w:t>29</w:t>
            </w:r>
            <w:r w:rsidRPr="006B73EF">
              <w:rPr>
                <w:b/>
                <w:color w:val="000000"/>
                <w:sz w:val="28"/>
                <w:szCs w:val="28"/>
              </w:rPr>
              <w:t>.10.2021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C" w:rsidRPr="006B73EF" w:rsidRDefault="001F074C" w:rsidP="001F074C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Как правильно заполнить платёжное поручение с 1 октября 2021 года</w:t>
            </w:r>
            <w:r w:rsidRPr="006B73EF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proofErr w:type="gramStart"/>
            <w:r w:rsidRPr="006B73EF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>ошибки, допускаемые налогоплательщиками при заполнении полей платежных поручений, положения приказа Минфина России от 14.09.2020 № 199н)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79C2EC42" wp14:editId="45EE9F21">
                  <wp:extent cx="1247775" cy="12477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https://vksnp4.nalog.ru/conference/29kak-pravilno-zapolnit-platyozhnoe-poruchenie-s-1?token=bb9c51b2-afa3-4896-90e5-2fbe17b11108</w:t>
            </w:r>
          </w:p>
        </w:tc>
      </w:tr>
      <w:tr w:rsidR="001F074C" w:rsidRPr="00B62C46" w:rsidTr="006B73EF">
        <w:trPr>
          <w:trHeight w:val="1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03.11.2021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C" w:rsidRPr="006B73EF" w:rsidRDefault="001F074C" w:rsidP="00104A3B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Налог на добавленную стоимость юридических лиц</w:t>
            </w:r>
            <w:r w:rsidRPr="006B73E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gramStart"/>
            <w:r w:rsidRPr="006B73EF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>изменения в гл. 21 Налогового Кодекса Российской Федерации; сроки уплаты налога; штрафные санкции за несвоевременное представление отчётности в установленные сроки и пр.)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6E5B9844" wp14:editId="4AED5C64">
                  <wp:extent cx="1247775" cy="12477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https://vksnp4.nalog.ru/conference/03nalog-na-dobavlennuyu-stoimost-yuridicheskix-lic?token=4a9b5626-b64a-4b5d-bc20-ff0fe8e3f3ab</w:t>
            </w:r>
          </w:p>
        </w:tc>
      </w:tr>
      <w:tr w:rsidR="001F074C" w:rsidRPr="00B62C46" w:rsidTr="006B73EF">
        <w:trPr>
          <w:trHeight w:val="1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08.11.2021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Особенности применения специального налогового режима для </w:t>
            </w:r>
            <w:proofErr w:type="spellStart"/>
            <w:r w:rsidRPr="006B73EF">
              <w:rPr>
                <w:b/>
                <w:bCs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 граждан – налог на профессиональный доход.</w:t>
            </w:r>
          </w:p>
          <w:p w:rsidR="001F074C" w:rsidRPr="006B73EF" w:rsidRDefault="001F074C" w:rsidP="00104A3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73EF">
              <w:rPr>
                <w:bCs/>
                <w:color w:val="000000"/>
                <w:sz w:val="28"/>
                <w:szCs w:val="28"/>
              </w:rPr>
              <w:t xml:space="preserve">(кому подходит специальный режим, регистрация, налоговые ставки, сроки платежей; </w:t>
            </w:r>
            <w:r w:rsidRPr="006B73EF">
              <w:rPr>
                <w:color w:val="000000"/>
                <w:sz w:val="28"/>
                <w:szCs w:val="28"/>
              </w:rPr>
              <w:t>электронный сервис «Выбор подходящего режима»</w:t>
            </w:r>
            <w:r w:rsidRPr="006B73EF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0EFE538E" wp14:editId="4DD81F4A">
                  <wp:extent cx="1247775" cy="12477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https://vksnp4.nalog.ru/conference/08osobennosti-primeneniya-specialnogo-nalogovogo-r?token=286de7ea-5499-4b8c-ae4d-229800ed0485</w:t>
            </w:r>
          </w:p>
        </w:tc>
      </w:tr>
      <w:tr w:rsidR="001F074C" w:rsidRPr="00B62C46" w:rsidTr="006B73EF">
        <w:trPr>
          <w:trHeight w:val="1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lastRenderedPageBreak/>
              <w:t>11.11.2021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C" w:rsidRDefault="001F074C" w:rsidP="00104A3B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Имущественные налоги физических лиц.                                                                                 (</w:t>
            </w:r>
            <w:r w:rsidRPr="006B73EF">
              <w:rPr>
                <w:color w:val="000000"/>
                <w:sz w:val="28"/>
                <w:szCs w:val="28"/>
              </w:rPr>
              <w:t>расчёт налога на имущество, исходя из кадастровой стоимости; порядок предоставления налоговых льгот по имущественным налогам физических лиц; возможности и преимущества использования сервиса "Личный кабинет налогоплательщика</w:t>
            </w:r>
            <w:proofErr w:type="gramStart"/>
            <w:r w:rsidRPr="006B73EF">
              <w:rPr>
                <w:color w:val="000000"/>
                <w:sz w:val="28"/>
                <w:szCs w:val="28"/>
              </w:rPr>
              <w:t xml:space="preserve">")   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6B73EF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6B73EF">
              <w:rPr>
                <w:color w:val="000000"/>
                <w:sz w:val="28"/>
                <w:szCs w:val="28"/>
              </w:rPr>
              <w:t xml:space="preserve"> проводится совместно с представителями МФЦ. </w:t>
            </w:r>
          </w:p>
          <w:p w:rsidR="006B73EF" w:rsidRPr="006B73EF" w:rsidRDefault="006B73EF" w:rsidP="00104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77353644" wp14:editId="4F6FCD7B">
                  <wp:extent cx="1276350" cy="12763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https://vksnp4.nalog.ru/conference/11imus-hestvennye-nalogi-fizicheskix-lic?token=4f61d8af-a46b-4f5f-b083-d4546a2b15ff</w:t>
            </w:r>
          </w:p>
        </w:tc>
      </w:tr>
      <w:tr w:rsidR="001F074C" w:rsidRPr="00B62C46" w:rsidTr="006B73EF">
        <w:trPr>
          <w:trHeight w:val="1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15.11.2021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Порядок заполнения расчёта 6-НДФЛ и 2-НДФЛ</w:t>
            </w:r>
          </w:p>
          <w:p w:rsidR="006B73EF" w:rsidRPr="006B73EF" w:rsidRDefault="001F074C" w:rsidP="006B73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73EF">
              <w:rPr>
                <w:bCs/>
                <w:color w:val="000000"/>
                <w:sz w:val="28"/>
                <w:szCs w:val="28"/>
              </w:rPr>
              <w:t>(контрольные соотношения, основные ошибки при заполнении)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0F2ACE6A" wp14:editId="783D6D1B">
                  <wp:extent cx="1257300" cy="1257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https://vksnp4.nalog.ru/conference/15112021poryadok-zapolneniya-raschyota-6-ndfl-i-2-?token=ead91948-1998-4e6b-a480-9d656b3f1ebb</w:t>
            </w:r>
          </w:p>
        </w:tc>
      </w:tr>
      <w:tr w:rsidR="001F074C" w:rsidRPr="00B62C46" w:rsidTr="006B73EF">
        <w:trPr>
          <w:trHeight w:val="1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19.11.2021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C" w:rsidRDefault="001F074C" w:rsidP="00104A3B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Имущественные налоги физических лиц.                                                                                 (</w:t>
            </w:r>
            <w:r w:rsidRPr="006B73EF">
              <w:rPr>
                <w:color w:val="000000"/>
                <w:sz w:val="28"/>
                <w:szCs w:val="28"/>
              </w:rPr>
              <w:t>расчёт налога на имущество, исходя из кадастровой стоимости; порядок предоставления налоговых льгот по имущественным налогам физических лиц; возможности и преимущества использования сервиса "Личный кабинет налогоплательщика</w:t>
            </w:r>
            <w:proofErr w:type="gramStart"/>
            <w:r w:rsidRPr="006B73EF">
              <w:rPr>
                <w:color w:val="000000"/>
                <w:sz w:val="28"/>
                <w:szCs w:val="28"/>
              </w:rPr>
              <w:t xml:space="preserve">")   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 w:rsidRPr="006B73EF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6B73EF">
              <w:rPr>
                <w:color w:val="000000"/>
                <w:sz w:val="28"/>
                <w:szCs w:val="28"/>
              </w:rPr>
              <w:t xml:space="preserve"> проводится совместно с представителями МФЦ. </w:t>
            </w:r>
          </w:p>
          <w:p w:rsidR="006B73EF" w:rsidRPr="006B73EF" w:rsidRDefault="006B73EF" w:rsidP="00104A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678F9247" wp14:editId="09EB962C">
                  <wp:extent cx="1266825" cy="1266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https://vksnp4.nalog.ru/conference/19imus-hestvennye-nalogi-fizicheskix-lic?token=22f549cc-e37e-4d32-b01e-4796c425f3f0</w:t>
            </w:r>
          </w:p>
        </w:tc>
      </w:tr>
      <w:tr w:rsidR="001F074C" w:rsidRPr="00B62C46" w:rsidTr="006B73EF">
        <w:trPr>
          <w:trHeight w:val="11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22.11.2021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Default="001F074C" w:rsidP="00104A3B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Электронные сервисы и </w:t>
            </w:r>
            <w:proofErr w:type="spellStart"/>
            <w:r w:rsidRPr="006B73EF">
              <w:rPr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 ФНС России.                                                                                   </w:t>
            </w:r>
            <w:r w:rsidRPr="006B73EF">
              <w:rPr>
                <w:color w:val="000000"/>
                <w:sz w:val="28"/>
                <w:szCs w:val="28"/>
              </w:rPr>
              <w:t xml:space="preserve"> (личный кабинет налогоплательщика - физического лица: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контроль")</w:t>
            </w:r>
          </w:p>
          <w:p w:rsidR="006B73EF" w:rsidRPr="006B73EF" w:rsidRDefault="006B73EF" w:rsidP="00104A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2DECCA70" wp14:editId="701EE3DB">
                  <wp:extent cx="1247775" cy="12477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https://vksnp4.nalog.ru/conference/221121elektronnye-servisy-i-gosuslugi-fns-rossii?token=d6b6b307-377a-4d15-8040-1781affe9bad</w:t>
            </w:r>
          </w:p>
        </w:tc>
      </w:tr>
      <w:tr w:rsidR="001F074C" w:rsidRPr="00B62C46" w:rsidTr="006B73EF">
        <w:trPr>
          <w:trHeight w:val="1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lastRenderedPageBreak/>
              <w:t>24.11.2021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Как правильно заполнить платёжное поручение с 1 октября 2021 года</w:t>
            </w:r>
            <w:r w:rsidRPr="006B73EF">
              <w:rPr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proofErr w:type="gramStart"/>
            <w:r w:rsidRPr="006B73EF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>ошибки, допускаемые налогоплательщиками при заполнении полей платежных поручений, положения приказа Минфина России от 14.09.2020 № 199н)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6C183919" wp14:editId="78536DB0">
                  <wp:extent cx="1247775" cy="12477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https://vksnp4.nalog.ru/conference/kak-pravilno-zapolnit-platyozhnoe-poruchenie-s-1-o?token=780141f7-f5ef-40c6-a294-77035dd3b97b</w:t>
            </w:r>
          </w:p>
        </w:tc>
      </w:tr>
      <w:tr w:rsidR="001F074C" w:rsidRPr="00B62C46" w:rsidTr="006B73EF">
        <w:trPr>
          <w:trHeight w:val="18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02.12.2021</w:t>
            </w:r>
          </w:p>
          <w:p w:rsidR="00104A3B" w:rsidRPr="006B73EF" w:rsidRDefault="00104A3B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C" w:rsidRPr="006B73EF" w:rsidRDefault="001F074C" w:rsidP="00104A3B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Электронные сервисы и </w:t>
            </w:r>
            <w:proofErr w:type="spellStart"/>
            <w:r w:rsidRPr="006B73EF">
              <w:rPr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 ФНС России.                                                                                   </w:t>
            </w:r>
            <w:r w:rsidRPr="006B73EF">
              <w:rPr>
                <w:color w:val="000000"/>
                <w:sz w:val="28"/>
                <w:szCs w:val="28"/>
              </w:rPr>
              <w:t xml:space="preserve"> (личный кабинет налогоплательщика - физического лица: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33A3F1A6" wp14:editId="337A38C2">
                  <wp:extent cx="1247775" cy="12477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https://vksnp4.nalog.ru/conference/021221elektronnye-servisy-i-gosuslugi-fns-rossii?token=1e9d4ff0-5300-4a4f-a567-564cf2a8720b</w:t>
            </w:r>
          </w:p>
        </w:tc>
      </w:tr>
      <w:tr w:rsidR="001F074C" w:rsidRPr="00B62C46" w:rsidTr="006B73EF">
        <w:trPr>
          <w:trHeight w:val="20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06.12.2021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74C" w:rsidRPr="006B73EF" w:rsidRDefault="001F074C" w:rsidP="001F074C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Налоговые вычеты.</w:t>
            </w:r>
            <w:r w:rsidRPr="006B73EF">
              <w:rPr>
                <w:color w:val="000000"/>
                <w:sz w:val="28"/>
                <w:szCs w:val="28"/>
              </w:rPr>
              <w:t xml:space="preserve"> </w:t>
            </w:r>
          </w:p>
          <w:p w:rsidR="001F074C" w:rsidRPr="006B73EF" w:rsidRDefault="001F074C" w:rsidP="007B1738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Особенности и порядок представления налоговой декларации по форме 3-НДФЛ </w:t>
            </w:r>
            <w:r w:rsidRPr="006B73EF">
              <w:rPr>
                <w:color w:val="000000"/>
                <w:sz w:val="28"/>
                <w:szCs w:val="28"/>
              </w:rPr>
              <w:br/>
              <w:t>(виды налоговых вычетов; обязанность физических лиц по представлению налоговой декларации; порядок и сроки представления налоговой декларации; изменения положений законодательства и утверждение формы налоговой декларации по форме 3-НДФЛ за 2020 год)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72E040F1" wp14:editId="20284EEB">
                  <wp:extent cx="1266825" cy="12668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https://vksnp4.nalog.ru/conference/06122021nalogovye-vychety-osobennosti-i-poryadok-p?token=5ea3b571-8785-4b6a-9e5a-634cb72f9831</w:t>
            </w:r>
          </w:p>
        </w:tc>
      </w:tr>
      <w:tr w:rsidR="001F074C" w:rsidRPr="00B62C46" w:rsidTr="006B73EF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08.12.2021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7B1738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Специальные налоговые режимы для Индивидуальных </w:t>
            </w:r>
            <w:proofErr w:type="gramStart"/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предпринимателей </w:t>
            </w:r>
            <w:r w:rsidRPr="006B73EF">
              <w:rPr>
                <w:color w:val="000000"/>
                <w:sz w:val="28"/>
                <w:szCs w:val="28"/>
              </w:rPr>
              <w:t xml:space="preserve"> </w:t>
            </w:r>
            <w:r w:rsidRPr="006B73EF">
              <w:rPr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 xml:space="preserve">вопросы по упрощенной системе налогообложения; патентная система налогообложения; налог на профессиональный доход; электронный сервис «Выбор подходящего режима»)                                                                                    </w:t>
            </w:r>
            <w:proofErr w:type="spellStart"/>
            <w:r w:rsidRPr="006B73EF">
              <w:rPr>
                <w:color w:val="000000"/>
                <w:sz w:val="28"/>
                <w:szCs w:val="28"/>
              </w:rPr>
              <w:t>Вебинар</w:t>
            </w:r>
            <w:proofErr w:type="spellEnd"/>
            <w:r w:rsidRPr="006B73EF">
              <w:rPr>
                <w:color w:val="000000"/>
                <w:sz w:val="28"/>
                <w:szCs w:val="28"/>
              </w:rPr>
              <w:t xml:space="preserve"> проводится совместно с операторами электронного документооборота.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45686077" wp14:editId="50499FED">
                  <wp:extent cx="1247775" cy="12477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https://vksnp4.nalog.ru/conference/08specialnye-nalogovye-rezhimy-dlya-individualnyx-?token=9c5084bf-2a6c-46b5-9592-967485a272ca</w:t>
            </w:r>
          </w:p>
        </w:tc>
      </w:tr>
      <w:tr w:rsidR="001F074C" w:rsidRPr="00B62C46" w:rsidTr="006B73EF">
        <w:trPr>
          <w:trHeight w:val="11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lastRenderedPageBreak/>
              <w:t>13.12.2021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Взыскание задолженности с физических лиц</w:t>
            </w:r>
          </w:p>
          <w:p w:rsidR="001F074C" w:rsidRPr="006B73EF" w:rsidRDefault="001F074C" w:rsidP="00104A3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73EF">
              <w:rPr>
                <w:bCs/>
                <w:color w:val="000000"/>
                <w:sz w:val="28"/>
                <w:szCs w:val="28"/>
              </w:rPr>
              <w:t>(порядок взыскания задолженности, погашение задолженности, ограничение права на выезд за пределы Российской Федерации)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33893A1D" wp14:editId="32873D68">
                  <wp:extent cx="1266825" cy="1266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https://vksnp4.nalog.ru/conference/13vzyskanie-zadolzhennosti-s-fizicheskix-lic?token=56054e12-6854-4094-9467-9f2941def378</w:t>
            </w:r>
          </w:p>
        </w:tc>
      </w:tr>
      <w:tr w:rsidR="001F074C" w:rsidRPr="00B62C46" w:rsidTr="006B73EF">
        <w:trPr>
          <w:trHeight w:val="1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21.12.2021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04A3B">
            <w:pPr>
              <w:jc w:val="center"/>
              <w:rPr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 xml:space="preserve">Налог на прибыль юридических </w:t>
            </w:r>
            <w:proofErr w:type="gramStart"/>
            <w:r w:rsidRPr="006B73EF">
              <w:rPr>
                <w:b/>
                <w:bCs/>
                <w:color w:val="000000"/>
                <w:sz w:val="28"/>
                <w:szCs w:val="28"/>
              </w:rPr>
              <w:t>лиц</w:t>
            </w:r>
            <w:r w:rsidRPr="006B73EF">
              <w:rPr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>форма и сроки представления отчётности; ошибки при заполнении декларации; сроки уплаты налога; штрафные санкции за несвоевременное представление отчётности в установленные сроки и пр.)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094B9494" wp14:editId="338FA46B">
                  <wp:extent cx="1219200" cy="12192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https://vksnp4.nalog.ru/conference/21nalog-na-pribyl-yuridicheskix-lic?token=6bdd759c-0b5e-4151-a527-b059641698a9</w:t>
            </w:r>
          </w:p>
        </w:tc>
      </w:tr>
      <w:tr w:rsidR="001F074C" w:rsidRPr="00B62C46" w:rsidTr="006B73EF">
        <w:trPr>
          <w:trHeight w:val="1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23.12.2021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04A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Налог на добавленную стоимость юридических лиц</w:t>
            </w:r>
            <w:r w:rsidRPr="006B73E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</w:t>
            </w:r>
            <w:proofErr w:type="gramStart"/>
            <w:r w:rsidRPr="006B73EF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6B73EF">
              <w:rPr>
                <w:color w:val="000000"/>
                <w:sz w:val="28"/>
                <w:szCs w:val="28"/>
              </w:rPr>
              <w:t>изменения в гл. 21 Налогового Кодекса Российской Федерации; сроки уплаты налога; штрафные санкции за несвоевременное представление отчётности в установленные сроки и пр.)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28A36E9F" wp14:editId="20D783C2">
                  <wp:extent cx="1181100" cy="11811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https://vksnp4.nalog.ru/conference/23122021nalog-na-dobavlennuyu-stoimost-yuridichesk?token=235f82f8-f78b-4c86-a9ac-289a3d736cce</w:t>
            </w:r>
          </w:p>
        </w:tc>
      </w:tr>
      <w:tr w:rsidR="001F074C" w:rsidRPr="00B62C46" w:rsidTr="006B73EF">
        <w:trPr>
          <w:trHeight w:val="1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28.12.2021</w:t>
            </w:r>
          </w:p>
          <w:p w:rsidR="001F074C" w:rsidRPr="006B73EF" w:rsidRDefault="001F074C" w:rsidP="001F074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73EF">
              <w:rPr>
                <w:b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6B73EF" w:rsidRDefault="001F074C" w:rsidP="001F07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73EF">
              <w:rPr>
                <w:b/>
                <w:bCs/>
                <w:color w:val="000000"/>
                <w:sz w:val="28"/>
                <w:szCs w:val="28"/>
              </w:rPr>
              <w:t>Порядок заполнения расчёта 6-НДФЛ и 2-НДФЛ</w:t>
            </w:r>
          </w:p>
          <w:p w:rsidR="001F074C" w:rsidRPr="006B73EF" w:rsidRDefault="001F074C" w:rsidP="001F07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73EF">
              <w:rPr>
                <w:bCs/>
                <w:color w:val="000000"/>
                <w:sz w:val="28"/>
                <w:szCs w:val="28"/>
              </w:rPr>
              <w:t>(контрольные соотношения, основные ошибки при заполнении)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noProof/>
                <w:color w:val="0000FF"/>
                <w:sz w:val="20"/>
                <w:szCs w:val="26"/>
                <w:u w:val="single"/>
              </w:rPr>
              <w:drawing>
                <wp:inline distT="0" distB="0" distL="0" distR="0" wp14:anchorId="06E67396" wp14:editId="51ECE741">
                  <wp:extent cx="1247775" cy="12477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74C" w:rsidRPr="007B1738" w:rsidRDefault="001F074C" w:rsidP="001F074C">
            <w:pPr>
              <w:jc w:val="center"/>
              <w:rPr>
                <w:color w:val="0000FF"/>
                <w:sz w:val="20"/>
                <w:szCs w:val="26"/>
                <w:u w:val="single"/>
              </w:rPr>
            </w:pPr>
            <w:r w:rsidRPr="007B1738">
              <w:rPr>
                <w:color w:val="0000FF"/>
                <w:sz w:val="20"/>
                <w:szCs w:val="26"/>
                <w:u w:val="single"/>
              </w:rPr>
              <w:t>https://vksnp4.nalog.ru/conference/poryadok-zapolneniya-raschyota-6-ndfl-i-2-ndfl?token=89aae3dd-fe6c-4917-ab75-3cc91d22cff0</w:t>
            </w:r>
          </w:p>
        </w:tc>
      </w:tr>
    </w:tbl>
    <w:p w:rsidR="00C350B3" w:rsidRPr="00BF2B2B" w:rsidRDefault="00C350B3" w:rsidP="00BF2B2B"/>
    <w:sectPr w:rsidR="00C350B3" w:rsidRPr="00BF2B2B" w:rsidSect="00104A3B">
      <w:footerReference w:type="default" r:id="rId27"/>
      <w:pgSz w:w="11906" w:h="16838" w:code="9"/>
      <w:pgMar w:top="284" w:right="567" w:bottom="284" w:left="567" w:header="709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D1" w:rsidRDefault="00524AD1" w:rsidP="00524AD1">
      <w:r>
        <w:separator/>
      </w:r>
    </w:p>
  </w:endnote>
  <w:endnote w:type="continuationSeparator" w:id="0">
    <w:p w:rsidR="00524AD1" w:rsidRDefault="00524AD1" w:rsidP="0052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D1" w:rsidRDefault="006C4CDE" w:rsidP="00524AD1">
    <w:pPr>
      <w:pStyle w:val="a6"/>
      <w:jc w:val="center"/>
    </w:pPr>
    <w:r>
      <w:rPr>
        <w:noProof/>
        <w:lang w:eastAsia="ru-RU"/>
      </w:rPr>
      <w:drawing>
        <wp:inline distT="0" distB="0" distL="0" distR="0" wp14:anchorId="4388DDFF" wp14:editId="74B94637">
          <wp:extent cx="5940425" cy="763662"/>
          <wp:effectExtent l="0" t="0" r="3175" b="0"/>
          <wp:docPr id="24" name="Рисунок 24" descr="Z:\Кузнецов Саша\77_podpis20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 descr="Z:\Кузнецов Саша\77_podpis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6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D1" w:rsidRDefault="00524AD1" w:rsidP="00524AD1">
      <w:r>
        <w:separator/>
      </w:r>
    </w:p>
  </w:footnote>
  <w:footnote w:type="continuationSeparator" w:id="0">
    <w:p w:rsidR="00524AD1" w:rsidRDefault="00524AD1" w:rsidP="00524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1"/>
    <w:rsid w:val="00030ACB"/>
    <w:rsid w:val="00047BC1"/>
    <w:rsid w:val="000643D5"/>
    <w:rsid w:val="00095C16"/>
    <w:rsid w:val="00104A3B"/>
    <w:rsid w:val="0018526B"/>
    <w:rsid w:val="001A172E"/>
    <w:rsid w:val="001B6E1F"/>
    <w:rsid w:val="001C4069"/>
    <w:rsid w:val="001F074C"/>
    <w:rsid w:val="001F6AAD"/>
    <w:rsid w:val="002421FC"/>
    <w:rsid w:val="00260760"/>
    <w:rsid w:val="0027310C"/>
    <w:rsid w:val="0027673E"/>
    <w:rsid w:val="00297331"/>
    <w:rsid w:val="002E5F55"/>
    <w:rsid w:val="00303621"/>
    <w:rsid w:val="0038491B"/>
    <w:rsid w:val="003B46CA"/>
    <w:rsid w:val="003E2847"/>
    <w:rsid w:val="003E62BF"/>
    <w:rsid w:val="00463976"/>
    <w:rsid w:val="0048321F"/>
    <w:rsid w:val="004B7940"/>
    <w:rsid w:val="004C0471"/>
    <w:rsid w:val="004D45D7"/>
    <w:rsid w:val="00524AD1"/>
    <w:rsid w:val="00551B4B"/>
    <w:rsid w:val="0056785A"/>
    <w:rsid w:val="005F0D55"/>
    <w:rsid w:val="005F1F92"/>
    <w:rsid w:val="006157F2"/>
    <w:rsid w:val="00650CE4"/>
    <w:rsid w:val="00657DAE"/>
    <w:rsid w:val="006A0066"/>
    <w:rsid w:val="006B046C"/>
    <w:rsid w:val="006B73EF"/>
    <w:rsid w:val="006C4CDE"/>
    <w:rsid w:val="006E6AA5"/>
    <w:rsid w:val="00706578"/>
    <w:rsid w:val="0071640A"/>
    <w:rsid w:val="00721CB0"/>
    <w:rsid w:val="00774F19"/>
    <w:rsid w:val="00797599"/>
    <w:rsid w:val="007B1738"/>
    <w:rsid w:val="007D41C3"/>
    <w:rsid w:val="007D523E"/>
    <w:rsid w:val="007E440C"/>
    <w:rsid w:val="00884216"/>
    <w:rsid w:val="00894AEE"/>
    <w:rsid w:val="008D01B6"/>
    <w:rsid w:val="008E3282"/>
    <w:rsid w:val="00904C5B"/>
    <w:rsid w:val="00927369"/>
    <w:rsid w:val="00993E47"/>
    <w:rsid w:val="009E7622"/>
    <w:rsid w:val="00A522BA"/>
    <w:rsid w:val="00A721B4"/>
    <w:rsid w:val="00AA5A4C"/>
    <w:rsid w:val="00AC338B"/>
    <w:rsid w:val="00AF7053"/>
    <w:rsid w:val="00B1697E"/>
    <w:rsid w:val="00B404D4"/>
    <w:rsid w:val="00BB71F6"/>
    <w:rsid w:val="00BC3274"/>
    <w:rsid w:val="00BF2B2B"/>
    <w:rsid w:val="00BF5CB9"/>
    <w:rsid w:val="00C172D5"/>
    <w:rsid w:val="00C26375"/>
    <w:rsid w:val="00C342EF"/>
    <w:rsid w:val="00C350B3"/>
    <w:rsid w:val="00C91943"/>
    <w:rsid w:val="00DC6138"/>
    <w:rsid w:val="00E41352"/>
    <w:rsid w:val="00EE17B3"/>
    <w:rsid w:val="00F34117"/>
    <w:rsid w:val="00F52E0B"/>
    <w:rsid w:val="00F534CE"/>
    <w:rsid w:val="00F93678"/>
    <w:rsid w:val="00FA6C16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D133A0D1-C0B1-4077-918F-4BF8080D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AD1"/>
    <w:rPr>
      <w:b/>
      <w:bCs/>
    </w:rPr>
  </w:style>
  <w:style w:type="paragraph" w:styleId="a4">
    <w:name w:val="header"/>
    <w:basedOn w:val="a"/>
    <w:link w:val="a5"/>
    <w:uiPriority w:val="99"/>
    <w:unhideWhenUsed/>
    <w:rsid w:val="00524A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24AD1"/>
  </w:style>
  <w:style w:type="paragraph" w:styleId="a6">
    <w:name w:val="footer"/>
    <w:basedOn w:val="a"/>
    <w:link w:val="a7"/>
    <w:uiPriority w:val="99"/>
    <w:unhideWhenUsed/>
    <w:rsid w:val="00524A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24AD1"/>
  </w:style>
  <w:style w:type="character" w:styleId="a8">
    <w:name w:val="Hyperlink"/>
    <w:basedOn w:val="a0"/>
    <w:uiPriority w:val="99"/>
    <w:unhideWhenUsed/>
    <w:rsid w:val="005F0D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78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8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 Иван Витальевич</dc:creator>
  <cp:keywords/>
  <dc:description/>
  <cp:lastModifiedBy>Громов Иван Витальевич</cp:lastModifiedBy>
  <cp:revision>2</cp:revision>
  <cp:lastPrinted>2021-09-30T06:49:00Z</cp:lastPrinted>
  <dcterms:created xsi:type="dcterms:W3CDTF">2021-10-19T12:33:00Z</dcterms:created>
  <dcterms:modified xsi:type="dcterms:W3CDTF">2021-10-19T12:33:00Z</dcterms:modified>
</cp:coreProperties>
</file>